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7F" w:rsidRPr="00C21BB8" w:rsidRDefault="006E7A7F" w:rsidP="007407BD">
      <w:pPr>
        <w:spacing w:afterLines="200"/>
        <w:jc w:val="center"/>
        <w:rPr>
          <w:rFonts w:ascii="Times New Roman" w:eastAsia="宋体" w:hAnsi="Times New Roman" w:cs="Times New Roman"/>
          <w:b/>
          <w:color w:val="555555"/>
          <w:sz w:val="32"/>
          <w:szCs w:val="32"/>
        </w:rPr>
      </w:pPr>
      <w:r w:rsidRPr="00C21BB8">
        <w:rPr>
          <w:rFonts w:ascii="Times New Roman" w:eastAsia="宋体" w:hAnsi="Times New Roman" w:cs="Times New Roman"/>
          <w:b/>
          <w:color w:val="555555"/>
          <w:sz w:val="32"/>
          <w:szCs w:val="32"/>
        </w:rPr>
        <w:t>LED</w:t>
      </w:r>
      <w:r w:rsidRPr="00C21BB8">
        <w:rPr>
          <w:rFonts w:ascii="Times New Roman" w:eastAsia="宋体" w:hAnsi="Times New Roman" w:cs="Times New Roman"/>
          <w:b/>
          <w:color w:val="555555"/>
          <w:sz w:val="32"/>
          <w:szCs w:val="32"/>
        </w:rPr>
        <w:t>显示屏详细要求</w:t>
      </w:r>
    </w:p>
    <w:p w:rsidR="0065682B" w:rsidRPr="00272EF3" w:rsidRDefault="00272EF3" w:rsidP="00272EF3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555555"/>
          <w:sz w:val="24"/>
          <w:szCs w:val="24"/>
        </w:rPr>
        <w:t>一、</w:t>
      </w:r>
      <w:r w:rsidR="0065682B" w:rsidRPr="00272EF3">
        <w:rPr>
          <w:rFonts w:ascii="Times New Roman" w:eastAsia="宋体" w:hAnsi="Times New Roman" w:cs="Times New Roman" w:hint="eastAsia"/>
          <w:b/>
          <w:bCs/>
          <w:color w:val="555555"/>
          <w:sz w:val="24"/>
          <w:szCs w:val="24"/>
        </w:rPr>
        <w:t>系统总体</w:t>
      </w:r>
      <w:r w:rsidR="00CE484B" w:rsidRPr="00272EF3">
        <w:rPr>
          <w:rFonts w:ascii="Times New Roman" w:eastAsia="宋体" w:hAnsi="Times New Roman" w:cs="Times New Roman" w:hint="eastAsia"/>
          <w:b/>
          <w:bCs/>
          <w:color w:val="555555"/>
          <w:sz w:val="24"/>
          <w:szCs w:val="24"/>
        </w:rPr>
        <w:t>需求</w:t>
      </w:r>
    </w:p>
    <w:p w:rsidR="00CE484B" w:rsidRPr="0065682B" w:rsidRDefault="00CE484B" w:rsidP="0001554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555555"/>
          <w:sz w:val="24"/>
          <w:szCs w:val="24"/>
        </w:rPr>
      </w:pPr>
      <w:r w:rsidRPr="0065682B">
        <w:rPr>
          <w:rFonts w:ascii="Times New Roman" w:eastAsia="宋体" w:hAnsi="Times New Roman" w:cs="Times New Roman" w:hint="eastAsia"/>
          <w:color w:val="555555"/>
          <w:sz w:val="24"/>
          <w:szCs w:val="24"/>
        </w:rPr>
        <w:t>本项目包括</w:t>
      </w:r>
      <w:r w:rsidR="00276253" w:rsidRPr="0065682B">
        <w:rPr>
          <w:rFonts w:ascii="Times New Roman" w:eastAsia="宋体" w:hAnsi="Times New Roman" w:cs="Times New Roman" w:hint="eastAsia"/>
          <w:color w:val="555555"/>
          <w:sz w:val="24"/>
          <w:szCs w:val="24"/>
        </w:rPr>
        <w:t>东华大学</w:t>
      </w:r>
      <w:r w:rsidR="000D6C99">
        <w:rPr>
          <w:rFonts w:ascii="Times New Roman" w:eastAsia="宋体" w:hAnsi="Times New Roman" w:cs="Times New Roman" w:hint="eastAsia"/>
          <w:color w:val="555555"/>
          <w:sz w:val="24"/>
          <w:szCs w:val="24"/>
        </w:rPr>
        <w:t>服装与艺术设计学院</w:t>
      </w:r>
      <w:r w:rsidR="000A4365">
        <w:rPr>
          <w:rFonts w:ascii="Times New Roman" w:eastAsia="宋体" w:hAnsi="Times New Roman" w:cs="Times New Roman" w:hint="eastAsia"/>
          <w:color w:val="555555"/>
          <w:sz w:val="24"/>
          <w:szCs w:val="24"/>
        </w:rPr>
        <w:t>逸夫楼</w:t>
      </w:r>
      <w:r w:rsidR="00272EF3">
        <w:rPr>
          <w:rFonts w:ascii="Times New Roman" w:eastAsia="宋体" w:hAnsi="Times New Roman" w:cs="Times New Roman" w:hint="eastAsia"/>
          <w:color w:val="555555"/>
          <w:sz w:val="24"/>
          <w:szCs w:val="24"/>
        </w:rPr>
        <w:t>演讲</w:t>
      </w:r>
      <w:r w:rsidR="00276253" w:rsidRPr="0065682B">
        <w:rPr>
          <w:rFonts w:ascii="Times New Roman" w:eastAsia="宋体" w:hAnsi="Times New Roman" w:cs="Times New Roman" w:hint="eastAsia"/>
          <w:color w:val="555555"/>
          <w:sz w:val="24"/>
          <w:szCs w:val="24"/>
        </w:rPr>
        <w:t>厅</w:t>
      </w:r>
      <w:r w:rsidRPr="0065682B">
        <w:rPr>
          <w:rFonts w:ascii="Times New Roman" w:eastAsia="宋体" w:hAnsi="Times New Roman" w:cs="Times New Roman"/>
          <w:color w:val="555555"/>
          <w:sz w:val="24"/>
          <w:szCs w:val="24"/>
        </w:rPr>
        <w:t>LED</w:t>
      </w:r>
      <w:r w:rsidRPr="0065682B">
        <w:rPr>
          <w:rFonts w:ascii="Times New Roman" w:eastAsia="宋体" w:hAnsi="Times New Roman" w:cs="Times New Roman"/>
          <w:color w:val="555555"/>
          <w:sz w:val="24"/>
          <w:szCs w:val="24"/>
        </w:rPr>
        <w:t>显示屏</w:t>
      </w:r>
      <w:r w:rsidR="000A4365">
        <w:rPr>
          <w:rFonts w:ascii="Times New Roman" w:eastAsia="宋体" w:hAnsi="Times New Roman" w:cs="Times New Roman" w:hint="eastAsia"/>
          <w:color w:val="555555"/>
          <w:sz w:val="24"/>
          <w:szCs w:val="24"/>
        </w:rPr>
        <w:t>、背景幕</w:t>
      </w:r>
      <w:r w:rsidRPr="0065682B">
        <w:rPr>
          <w:rFonts w:ascii="Times New Roman" w:eastAsia="宋体" w:hAnsi="Times New Roman" w:cs="Times New Roman"/>
          <w:color w:val="555555"/>
          <w:sz w:val="24"/>
          <w:szCs w:val="24"/>
        </w:rPr>
        <w:t>及其配套设备，采用室内型显示屏。显示屏主要功能用途：用于接待宣传、播放视频、背景显示等信息。</w:t>
      </w:r>
    </w:p>
    <w:p w:rsidR="00CE484B" w:rsidRPr="00CE484B" w:rsidRDefault="007407BD" w:rsidP="0001554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555555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555555"/>
          <w:sz w:val="24"/>
          <w:szCs w:val="24"/>
        </w:rPr>
        <w:t>报价</w:t>
      </w:r>
      <w:r w:rsidR="00CE484B" w:rsidRPr="00CE484B">
        <w:rPr>
          <w:rFonts w:ascii="Times New Roman" w:eastAsia="宋体" w:hAnsi="Times New Roman" w:cs="Times New Roman" w:hint="eastAsia"/>
          <w:color w:val="555555"/>
          <w:sz w:val="24"/>
          <w:szCs w:val="24"/>
        </w:rPr>
        <w:t>文件应清楚列出设备、材料的计量单位、数量、规格型号、单价及总价。</w:t>
      </w:r>
      <w:r>
        <w:rPr>
          <w:rFonts w:ascii="Times New Roman" w:eastAsia="宋体" w:hAnsi="Times New Roman" w:cs="Times New Roman" w:hint="eastAsia"/>
          <w:color w:val="555555"/>
          <w:sz w:val="24"/>
          <w:szCs w:val="24"/>
        </w:rPr>
        <w:t>报价方</w:t>
      </w:r>
      <w:r w:rsidR="00CE484B" w:rsidRPr="00CE484B">
        <w:rPr>
          <w:rFonts w:ascii="Times New Roman" w:eastAsia="宋体" w:hAnsi="Times New Roman" w:cs="Times New Roman" w:hint="eastAsia"/>
          <w:color w:val="555555"/>
          <w:sz w:val="24"/>
          <w:szCs w:val="24"/>
        </w:rPr>
        <w:t>应充分考虑现场实际情况，包括线管线缆铺设</w:t>
      </w:r>
      <w:r w:rsidR="00C60CC1">
        <w:rPr>
          <w:rFonts w:ascii="Times New Roman" w:eastAsia="宋体" w:hAnsi="Times New Roman" w:cs="Times New Roman" w:hint="eastAsia"/>
          <w:color w:val="555555"/>
          <w:sz w:val="24"/>
          <w:szCs w:val="24"/>
        </w:rPr>
        <w:t>，装修修复</w:t>
      </w:r>
      <w:r w:rsidR="00CE484B" w:rsidRPr="00CE484B">
        <w:rPr>
          <w:rFonts w:ascii="Times New Roman" w:eastAsia="宋体" w:hAnsi="Times New Roman" w:cs="Times New Roman" w:hint="eastAsia"/>
          <w:color w:val="555555"/>
          <w:sz w:val="24"/>
          <w:szCs w:val="24"/>
        </w:rPr>
        <w:t>等情况，都应包含在整体报价中。</w:t>
      </w:r>
    </w:p>
    <w:p w:rsidR="00CE484B" w:rsidRDefault="007407BD" w:rsidP="0001554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555555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555555"/>
          <w:sz w:val="24"/>
          <w:szCs w:val="24"/>
        </w:rPr>
        <w:t>报价</w:t>
      </w:r>
      <w:r w:rsidR="00CE484B" w:rsidRPr="00CE484B">
        <w:rPr>
          <w:rFonts w:ascii="Times New Roman" w:eastAsia="宋体" w:hAnsi="Times New Roman" w:cs="Times New Roman" w:hint="eastAsia"/>
          <w:color w:val="555555"/>
          <w:sz w:val="24"/>
          <w:szCs w:val="24"/>
        </w:rPr>
        <w:t>单位必须确保整个系统软硬件完全兼容</w:t>
      </w:r>
      <w:r w:rsidR="00C60CC1">
        <w:rPr>
          <w:rFonts w:ascii="Times New Roman" w:eastAsia="宋体" w:hAnsi="Times New Roman" w:cs="Times New Roman" w:hint="eastAsia"/>
          <w:color w:val="555555"/>
          <w:sz w:val="24"/>
          <w:szCs w:val="24"/>
        </w:rPr>
        <w:t>的同时和原有舞台音视频系统兼容</w:t>
      </w:r>
      <w:r w:rsidR="00CE484B" w:rsidRPr="00CE484B">
        <w:rPr>
          <w:rFonts w:ascii="Times New Roman" w:eastAsia="宋体" w:hAnsi="Times New Roman" w:cs="Times New Roman" w:hint="eastAsia"/>
          <w:color w:val="555555"/>
          <w:sz w:val="24"/>
          <w:szCs w:val="24"/>
        </w:rPr>
        <w:t>。质保期内无偿提供维保及调试等增值服务。显示屏的整个生命周期中，应能保持画面如同刚出厂时均匀一致</w:t>
      </w:r>
      <w:r w:rsidR="00251A12">
        <w:rPr>
          <w:rFonts w:ascii="Times New Roman" w:eastAsia="宋体" w:hAnsi="Times New Roman" w:cs="Times New Roman" w:hint="eastAsia"/>
          <w:color w:val="555555"/>
          <w:sz w:val="24"/>
          <w:szCs w:val="24"/>
        </w:rPr>
        <w:t>。</w:t>
      </w:r>
      <w:r w:rsidR="00CE484B" w:rsidRPr="00CE484B">
        <w:rPr>
          <w:rFonts w:ascii="Times New Roman" w:eastAsia="宋体" w:hAnsi="Times New Roman" w:cs="Times New Roman" w:hint="eastAsia"/>
          <w:color w:val="555555"/>
          <w:sz w:val="24"/>
          <w:szCs w:val="24"/>
        </w:rPr>
        <w:t>为了使显示屏能够适应各种需求，控制系统需提供对色彩、灰度和亮度的全面控制。显示屏可以根据事先设定好的参数呈现出精彩画面。</w:t>
      </w:r>
    </w:p>
    <w:p w:rsidR="0065682B" w:rsidRPr="00272EF3" w:rsidRDefault="00272EF3" w:rsidP="00272EF3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555555"/>
          <w:sz w:val="24"/>
          <w:szCs w:val="24"/>
        </w:rPr>
        <w:t>二、</w:t>
      </w:r>
      <w:r w:rsidR="0065682B" w:rsidRPr="00272EF3">
        <w:rPr>
          <w:rFonts w:ascii="Times New Roman" w:eastAsia="宋体" w:hAnsi="Times New Roman" w:cs="Times New Roman" w:hint="eastAsia"/>
          <w:b/>
          <w:bCs/>
          <w:color w:val="555555"/>
          <w:sz w:val="24"/>
          <w:szCs w:val="24"/>
        </w:rPr>
        <w:t>招标详细需求</w:t>
      </w:r>
    </w:p>
    <w:p w:rsidR="0042392E" w:rsidRDefault="00272EF3" w:rsidP="00272EF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555555"/>
          <w:sz w:val="24"/>
          <w:szCs w:val="24"/>
        </w:rPr>
      </w:pPr>
      <w:r>
        <w:rPr>
          <w:rFonts w:ascii="Times New Roman" w:eastAsia="宋体" w:hAnsi="Times New Roman" w:cs="Times New Roman"/>
          <w:color w:val="555555"/>
          <w:sz w:val="24"/>
          <w:szCs w:val="24"/>
        </w:rPr>
        <w:t xml:space="preserve">1. </w:t>
      </w:r>
      <w:r w:rsidR="00CE484B" w:rsidRPr="00CE484B">
        <w:rPr>
          <w:rFonts w:ascii="Times New Roman" w:eastAsia="宋体" w:hAnsi="Times New Roman" w:cs="Times New Roman"/>
          <w:color w:val="555555"/>
          <w:sz w:val="24"/>
          <w:szCs w:val="24"/>
        </w:rPr>
        <w:t>系统需求清单及要求</w:t>
      </w:r>
    </w:p>
    <w:tbl>
      <w:tblPr>
        <w:tblW w:w="992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1320"/>
        <w:gridCol w:w="4967"/>
        <w:gridCol w:w="740"/>
        <w:gridCol w:w="740"/>
        <w:gridCol w:w="1497"/>
      </w:tblGrid>
      <w:tr w:rsidR="0065682B" w:rsidRPr="002F1D9B" w:rsidTr="0065682B">
        <w:trPr>
          <w:trHeight w:val="312"/>
        </w:trPr>
        <w:tc>
          <w:tcPr>
            <w:tcW w:w="66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F1D9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推荐品牌</w:t>
            </w:r>
          </w:p>
        </w:tc>
      </w:tr>
      <w:tr w:rsidR="0065682B" w:rsidRPr="002F1D9B" w:rsidTr="0065682B">
        <w:trPr>
          <w:trHeight w:val="699"/>
        </w:trPr>
        <w:tc>
          <w:tcPr>
            <w:tcW w:w="66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LED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显示屏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像素间距：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≤2.0mm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，采用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SMD1515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封装，像素密度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250000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点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4375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㎡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2.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无风扇，防尘、对比度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≥20000:1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，亮度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≥800CD/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㎡，刷新率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≥3840HZ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▲3.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支持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SMD1515</w:t>
            </w:r>
            <w:r w:rsidR="00D0116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工艺磨砂面黑灯，可提升视觉对比度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▲4.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电流增益调节范围：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1%~199%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，电流增益调节级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≥8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位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▲5.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显示屏塑料面罩底壳应能通过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GB4943.1-2022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条款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的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550℃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灼热丝试验要求，满足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HB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等级要求。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▲6.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色域空间：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LED 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显示屏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Color Space 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覆盖率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≥122% YIQ(NTSC) LED 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显示屏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Color Space 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覆盖率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≥172%YUV(PAL)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标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▲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指标需提供具有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CNAS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认证标志检测报告并加盖厂家公章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38.6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邺云</w:t>
            </w:r>
            <w:r w:rsidR="0065682B"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天合</w:t>
            </w:r>
            <w:r w:rsidR="0065682B"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深圳引路人</w:t>
            </w:r>
          </w:p>
        </w:tc>
      </w:tr>
      <w:tr w:rsidR="0065682B" w:rsidRPr="002F1D9B" w:rsidTr="0065682B">
        <w:trPr>
          <w:trHeight w:val="600"/>
        </w:trPr>
        <w:tc>
          <w:tcPr>
            <w:tcW w:w="66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开关电源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4.5V40A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满足本块大屏的安装需求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创联、欧姆龙，台达</w:t>
            </w:r>
          </w:p>
        </w:tc>
      </w:tr>
      <w:tr w:rsidR="0065682B" w:rsidRPr="002F1D9B" w:rsidTr="0065682B">
        <w:trPr>
          <w:trHeight w:val="1800"/>
        </w:trPr>
        <w:tc>
          <w:tcPr>
            <w:tcW w:w="66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控制系统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输入：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路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DP 1.4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、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路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HDMI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路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像素：支持最大带载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1048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万像素，最宽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16384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像素，或最高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8192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像素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分辨率：支持最大输入分辨率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4096×2160@60Hz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，支持自定义分辨率设置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输出：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路千兆网口输出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支持对视频信号任意切换，裁剪，拼接，缩放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支持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画面显示，位置，大小可自由调节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卡莱特、诺瓦，天合</w:t>
            </w:r>
          </w:p>
        </w:tc>
      </w:tr>
      <w:tr w:rsidR="0065682B" w:rsidRPr="002F1D9B" w:rsidTr="0065682B">
        <w:trPr>
          <w:trHeight w:val="600"/>
        </w:trPr>
        <w:tc>
          <w:tcPr>
            <w:tcW w:w="66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接收控制卡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接收控制卡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满足信号接收需求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卡莱特、诺瓦，天合</w:t>
            </w:r>
          </w:p>
        </w:tc>
      </w:tr>
      <w:tr w:rsidR="0065682B" w:rsidRPr="002F1D9B" w:rsidTr="0065682B">
        <w:trPr>
          <w:trHeight w:val="300"/>
        </w:trPr>
        <w:tc>
          <w:tcPr>
            <w:tcW w:w="66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控制软件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D03F45" w:rsidRPr="002F1D9B" w:rsidRDefault="00D03F45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▲</w:t>
            </w:r>
            <w:r w:rsidR="0042392E" w:rsidRPr="00EC6245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“电源及多点温度检测控制”</w:t>
            </w:r>
          </w:p>
          <w:p w:rsidR="00D03F45" w:rsidRPr="00FD0FFF" w:rsidRDefault="00D03F45" w:rsidP="0042392E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▲</w:t>
            </w:r>
            <w:r w:rsidR="0042392E" w:rsidRPr="00FD0FFF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“故障自诊断及排查”</w:t>
            </w:r>
          </w:p>
          <w:p w:rsidR="0042392E" w:rsidRPr="00FD0FFF" w:rsidRDefault="00D03F45" w:rsidP="0042392E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FD0FFF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▲</w:t>
            </w:r>
            <w:r w:rsidR="00FD0FFF" w:rsidRPr="00FD0FF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“</w:t>
            </w:r>
            <w:r w:rsidR="0042392E" w:rsidRPr="00FD0FFF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多视觉模式调控”功能</w:t>
            </w:r>
          </w:p>
          <w:p w:rsidR="0042392E" w:rsidRPr="002F1D9B" w:rsidRDefault="00D03F45" w:rsidP="00FD0FFF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标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▲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需提供具有软件著作权证书并加盖厂家公章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卡莱特、诺瓦，天合</w:t>
            </w:r>
          </w:p>
        </w:tc>
      </w:tr>
      <w:tr w:rsidR="0065682B" w:rsidRPr="002F1D9B" w:rsidTr="0065682B">
        <w:trPr>
          <w:trHeight w:val="1200"/>
        </w:trPr>
        <w:tc>
          <w:tcPr>
            <w:tcW w:w="66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控制电脑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I5 16G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512SSD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4K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独立显卡，独立显卡支持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路输出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22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寸显示器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联想、华为、戴尔</w:t>
            </w:r>
          </w:p>
        </w:tc>
      </w:tr>
      <w:tr w:rsidR="0065682B" w:rsidRPr="002F1D9B" w:rsidTr="0065682B">
        <w:trPr>
          <w:trHeight w:val="900"/>
        </w:trPr>
        <w:tc>
          <w:tcPr>
            <w:tcW w:w="66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供电电箱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总容量：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≥40KW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回路数：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≥12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路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PLC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控制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中电、凯纳特、德力西</w:t>
            </w:r>
          </w:p>
        </w:tc>
      </w:tr>
      <w:tr w:rsidR="0065682B" w:rsidRPr="002F1D9B" w:rsidTr="0065682B">
        <w:trPr>
          <w:trHeight w:val="600"/>
        </w:trPr>
        <w:tc>
          <w:tcPr>
            <w:tcW w:w="66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框架结构及包边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国标方管及包边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38.6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定制</w:t>
            </w:r>
          </w:p>
        </w:tc>
      </w:tr>
      <w:tr w:rsidR="0065682B" w:rsidRPr="002F1D9B" w:rsidTr="0065682B">
        <w:trPr>
          <w:trHeight w:val="1200"/>
        </w:trPr>
        <w:tc>
          <w:tcPr>
            <w:tcW w:w="66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400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寸背景幕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电动遥控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400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寸：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8855*4981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毫米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材质：白玻纤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包括钢结构支架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美视、锐普、庆繁</w:t>
            </w:r>
          </w:p>
        </w:tc>
      </w:tr>
      <w:tr w:rsidR="0065682B" w:rsidRPr="002F1D9B" w:rsidTr="0065682B">
        <w:trPr>
          <w:trHeight w:val="900"/>
        </w:trPr>
        <w:tc>
          <w:tcPr>
            <w:tcW w:w="66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LOGO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投影灯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42392E" w:rsidRPr="002F1D9B" w:rsidRDefault="007028AF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≥150W</w:t>
            </w:r>
            <w:r w:rsidR="0042392E"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遥控</w:t>
            </w:r>
            <w:r w:rsidR="0042392E"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="0042392E"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投射距离</w:t>
            </w:r>
            <w:r w:rsidR="0042392E"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5~8</w:t>
            </w:r>
            <w:r w:rsidR="0042392E"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米</w:t>
            </w:r>
            <w:r w:rsidR="0042392E"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="0042392E"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使用方提供使用需求及图案文件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定制</w:t>
            </w:r>
          </w:p>
        </w:tc>
      </w:tr>
      <w:tr w:rsidR="0065682B" w:rsidRPr="002F1D9B" w:rsidTr="0065682B">
        <w:trPr>
          <w:trHeight w:val="900"/>
        </w:trPr>
        <w:tc>
          <w:tcPr>
            <w:tcW w:w="66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强电线及网线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供电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4*16+1*10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总线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3*4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平方分控线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CAT6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信号传输线等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国产优质</w:t>
            </w:r>
          </w:p>
        </w:tc>
      </w:tr>
      <w:tr w:rsidR="0065682B" w:rsidRPr="002F1D9B" w:rsidTr="0065682B">
        <w:trPr>
          <w:trHeight w:val="300"/>
        </w:trPr>
        <w:tc>
          <w:tcPr>
            <w:tcW w:w="66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高清线缆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本系统所需的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HDMI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跳线，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HDMI</w:t>
            </w: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光纤线等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国产优质</w:t>
            </w:r>
          </w:p>
        </w:tc>
      </w:tr>
      <w:tr w:rsidR="0065682B" w:rsidRPr="002F1D9B" w:rsidTr="0065682B">
        <w:trPr>
          <w:trHeight w:val="300"/>
        </w:trPr>
        <w:tc>
          <w:tcPr>
            <w:tcW w:w="66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管材及桥架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管材及桥架，满足所有强电弱电线缆的敷设需求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42392E" w:rsidRPr="002F1D9B" w:rsidRDefault="0042392E" w:rsidP="0042392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F1D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国产优质</w:t>
            </w:r>
          </w:p>
        </w:tc>
      </w:tr>
    </w:tbl>
    <w:p w:rsidR="006B7709" w:rsidRPr="00B75158" w:rsidRDefault="006B7709" w:rsidP="007407BD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6B7709" w:rsidRPr="00B75158" w:rsidSect="00C95B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36" w:rsidRDefault="00D70A36" w:rsidP="006E7A7F">
      <w:r>
        <w:separator/>
      </w:r>
    </w:p>
  </w:endnote>
  <w:endnote w:type="continuationSeparator" w:id="0">
    <w:p w:rsidR="00D70A36" w:rsidRDefault="00D70A36" w:rsidP="006E7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4352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25AD7" w:rsidRPr="00C25AD7" w:rsidRDefault="003A180C">
        <w:pPr>
          <w:pStyle w:val="a4"/>
          <w:jc w:val="center"/>
          <w:rPr>
            <w:rFonts w:ascii="Times New Roman" w:hAnsi="Times New Roman" w:cs="Times New Roman"/>
          </w:rPr>
        </w:pPr>
        <w:r w:rsidRPr="00C25AD7">
          <w:rPr>
            <w:rFonts w:ascii="Times New Roman" w:hAnsi="Times New Roman" w:cs="Times New Roman"/>
          </w:rPr>
          <w:fldChar w:fldCharType="begin"/>
        </w:r>
        <w:r w:rsidR="00C25AD7" w:rsidRPr="00C25AD7">
          <w:rPr>
            <w:rFonts w:ascii="Times New Roman" w:hAnsi="Times New Roman" w:cs="Times New Roman"/>
          </w:rPr>
          <w:instrText>PAGE   \* MERGEFORMAT</w:instrText>
        </w:r>
        <w:r w:rsidRPr="00C25AD7">
          <w:rPr>
            <w:rFonts w:ascii="Times New Roman" w:hAnsi="Times New Roman" w:cs="Times New Roman"/>
          </w:rPr>
          <w:fldChar w:fldCharType="separate"/>
        </w:r>
        <w:r w:rsidR="007407BD" w:rsidRPr="007407BD">
          <w:rPr>
            <w:rFonts w:ascii="Times New Roman" w:hAnsi="Times New Roman" w:cs="Times New Roman"/>
            <w:noProof/>
            <w:lang w:val="zh-CN"/>
          </w:rPr>
          <w:t>2</w:t>
        </w:r>
        <w:r w:rsidRPr="00C25AD7">
          <w:rPr>
            <w:rFonts w:ascii="Times New Roman" w:hAnsi="Times New Roman" w:cs="Times New Roman"/>
          </w:rPr>
          <w:fldChar w:fldCharType="end"/>
        </w:r>
      </w:p>
    </w:sdtContent>
  </w:sdt>
  <w:p w:rsidR="00C25AD7" w:rsidRDefault="00C25A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36" w:rsidRDefault="00D70A36" w:rsidP="006E7A7F">
      <w:r>
        <w:separator/>
      </w:r>
    </w:p>
  </w:footnote>
  <w:footnote w:type="continuationSeparator" w:id="0">
    <w:p w:rsidR="00D70A36" w:rsidRDefault="00D70A36" w:rsidP="006E7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F2D"/>
    <w:multiLevelType w:val="hybridMultilevel"/>
    <w:tmpl w:val="CE5074B8"/>
    <w:lvl w:ilvl="0" w:tplc="2ADED13E">
      <w:start w:val="1"/>
      <w:numFmt w:val="japaneseCounting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41020"/>
    <w:multiLevelType w:val="hybridMultilevel"/>
    <w:tmpl w:val="CE5074B8"/>
    <w:lvl w:ilvl="0" w:tplc="FFFFFFFF">
      <w:start w:val="1"/>
      <w:numFmt w:val="japaneseCounting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60E"/>
    <w:rsid w:val="0001554B"/>
    <w:rsid w:val="000A4365"/>
    <w:rsid w:val="000B7383"/>
    <w:rsid w:val="000D6C99"/>
    <w:rsid w:val="00145BBE"/>
    <w:rsid w:val="0015235D"/>
    <w:rsid w:val="001D1DBD"/>
    <w:rsid w:val="001F3BC7"/>
    <w:rsid w:val="00243FAF"/>
    <w:rsid w:val="00247B91"/>
    <w:rsid w:val="00251A12"/>
    <w:rsid w:val="00266E8D"/>
    <w:rsid w:val="002676CC"/>
    <w:rsid w:val="00272EF3"/>
    <w:rsid w:val="00276253"/>
    <w:rsid w:val="002D1F46"/>
    <w:rsid w:val="002D2FA3"/>
    <w:rsid w:val="002F1D9B"/>
    <w:rsid w:val="003A180C"/>
    <w:rsid w:val="00402207"/>
    <w:rsid w:val="0042392E"/>
    <w:rsid w:val="00437548"/>
    <w:rsid w:val="004509C0"/>
    <w:rsid w:val="0045793A"/>
    <w:rsid w:val="004E075E"/>
    <w:rsid w:val="004E3E8F"/>
    <w:rsid w:val="00506AD6"/>
    <w:rsid w:val="00557C6C"/>
    <w:rsid w:val="005E25AC"/>
    <w:rsid w:val="0065682B"/>
    <w:rsid w:val="00697C05"/>
    <w:rsid w:val="006A7B8B"/>
    <w:rsid w:val="006B7709"/>
    <w:rsid w:val="006E7A7F"/>
    <w:rsid w:val="006F7010"/>
    <w:rsid w:val="007028AF"/>
    <w:rsid w:val="0071702C"/>
    <w:rsid w:val="007407BD"/>
    <w:rsid w:val="00792999"/>
    <w:rsid w:val="007D2AA5"/>
    <w:rsid w:val="00822C5D"/>
    <w:rsid w:val="008454C9"/>
    <w:rsid w:val="008746D4"/>
    <w:rsid w:val="008B7810"/>
    <w:rsid w:val="00936303"/>
    <w:rsid w:val="00943E62"/>
    <w:rsid w:val="009824CD"/>
    <w:rsid w:val="009C6ABB"/>
    <w:rsid w:val="00A10B50"/>
    <w:rsid w:val="00A37F39"/>
    <w:rsid w:val="00A44AF5"/>
    <w:rsid w:val="00AA1D89"/>
    <w:rsid w:val="00AB78BF"/>
    <w:rsid w:val="00B00609"/>
    <w:rsid w:val="00B711DD"/>
    <w:rsid w:val="00B75158"/>
    <w:rsid w:val="00BF11A0"/>
    <w:rsid w:val="00C21BB8"/>
    <w:rsid w:val="00C25AD7"/>
    <w:rsid w:val="00C60CC1"/>
    <w:rsid w:val="00C91C63"/>
    <w:rsid w:val="00C95B96"/>
    <w:rsid w:val="00C97597"/>
    <w:rsid w:val="00CE484B"/>
    <w:rsid w:val="00D01167"/>
    <w:rsid w:val="00D03F45"/>
    <w:rsid w:val="00D70A36"/>
    <w:rsid w:val="00D8160E"/>
    <w:rsid w:val="00D82B6B"/>
    <w:rsid w:val="00DD518F"/>
    <w:rsid w:val="00E2255C"/>
    <w:rsid w:val="00E524B2"/>
    <w:rsid w:val="00E55DF0"/>
    <w:rsid w:val="00EC6245"/>
    <w:rsid w:val="00F110B2"/>
    <w:rsid w:val="00FD0FFF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A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A7F"/>
    <w:rPr>
      <w:sz w:val="18"/>
      <w:szCs w:val="18"/>
    </w:rPr>
  </w:style>
  <w:style w:type="paragraph" w:customStyle="1" w:styleId="a5">
    <w:basedOn w:val="a"/>
    <w:next w:val="a6"/>
    <w:uiPriority w:val="34"/>
    <w:qFormat/>
    <w:rsid w:val="001D1DBD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1D1DBD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6B770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B7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1220</Characters>
  <Application>Microsoft Office Word</Application>
  <DocSecurity>0</DocSecurity>
  <Lines>10</Lines>
  <Paragraphs>2</Paragraphs>
  <ScaleCrop>false</ScaleCrop>
  <Company>China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xzw</cp:lastModifiedBy>
  <cp:revision>3</cp:revision>
  <dcterms:created xsi:type="dcterms:W3CDTF">2024-06-30T23:56:00Z</dcterms:created>
  <dcterms:modified xsi:type="dcterms:W3CDTF">2024-07-01T00:00:00Z</dcterms:modified>
</cp:coreProperties>
</file>