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7B6" w:rsidRDefault="0043554A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东华大学延安路校区二食堂三楼餐厅改造家具采购项目</w:t>
      </w:r>
    </w:p>
    <w:p w:rsidR="00D617B6" w:rsidRDefault="00D617B6">
      <w:pPr>
        <w:jc w:val="center"/>
        <w:rPr>
          <w:rFonts w:ascii="黑体" w:eastAsia="黑体" w:hAnsi="黑体" w:cs="黑体"/>
          <w:sz w:val="32"/>
          <w:szCs w:val="32"/>
        </w:rPr>
      </w:pPr>
    </w:p>
    <w:p w:rsidR="00D617B6" w:rsidRPr="004A7832" w:rsidRDefault="0043554A">
      <w:pPr>
        <w:jc w:val="center"/>
        <w:rPr>
          <w:rFonts w:ascii="宋体" w:eastAsia="宋体" w:hAnsi="宋体" w:cstheme="minorEastAsia"/>
          <w:szCs w:val="21"/>
        </w:rPr>
      </w:pPr>
      <w:r w:rsidRPr="004A7832">
        <w:rPr>
          <w:rFonts w:ascii="宋体" w:eastAsia="宋体" w:hAnsi="宋体" w:cstheme="minorEastAsia" w:hint="eastAsia"/>
          <w:szCs w:val="21"/>
        </w:rPr>
        <w:t>表：延安路校区二食堂三楼餐厅改造家具需求清单</w:t>
      </w:r>
    </w:p>
    <w:tbl>
      <w:tblPr>
        <w:tblpPr w:leftFromText="180" w:rightFromText="180" w:vertAnchor="text" w:horzAnchor="page" w:tblpXSpec="center" w:tblpY="631"/>
        <w:tblOverlap w:val="never"/>
        <w:tblW w:w="11390" w:type="dxa"/>
        <w:tblLayout w:type="fixed"/>
        <w:tblLook w:val="04A0"/>
      </w:tblPr>
      <w:tblGrid>
        <w:gridCol w:w="667"/>
        <w:gridCol w:w="915"/>
        <w:gridCol w:w="2229"/>
        <w:gridCol w:w="1052"/>
        <w:gridCol w:w="720"/>
        <w:gridCol w:w="645"/>
        <w:gridCol w:w="5162"/>
      </w:tblGrid>
      <w:tr w:rsidR="00D617B6" w:rsidRPr="004A7832">
        <w:trPr>
          <w:trHeight w:val="315"/>
        </w:trPr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4A7832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4A7832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4A7832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参考图片</w:t>
            </w:r>
          </w:p>
        </w:tc>
        <w:tc>
          <w:tcPr>
            <w:tcW w:w="105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产品尺寸(mm)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4A7832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5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4A7832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技术要求</w:t>
            </w:r>
          </w:p>
        </w:tc>
      </w:tr>
      <w:tr w:rsidR="00D617B6" w:rsidRPr="004A7832">
        <w:trPr>
          <w:trHeight w:val="285"/>
        </w:trPr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D617B6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D617B6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2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D617B6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05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D617B6">
            <w:pPr>
              <w:snapToGrid w:val="0"/>
              <w:jc w:val="center"/>
              <w:rPr>
                <w:rFonts w:ascii="宋体" w:eastAsia="宋体" w:hAnsi="宋体" w:cs="微软雅黑"/>
                <w:color w:val="00000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D617B6">
            <w:pPr>
              <w:snapToGrid w:val="0"/>
              <w:jc w:val="center"/>
              <w:rPr>
                <w:rFonts w:ascii="宋体" w:eastAsia="宋体" w:hAnsi="宋体" w:cs="微软雅黑"/>
                <w:color w:val="000000"/>
                <w:szCs w:val="21"/>
              </w:rPr>
            </w:pPr>
          </w:p>
        </w:tc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D617B6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5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D617B6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D617B6" w:rsidRPr="004A7832">
        <w:trPr>
          <w:trHeight w:val="77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-445770</wp:posOffset>
                  </wp:positionV>
                  <wp:extent cx="1372870" cy="865505"/>
                  <wp:effectExtent l="0" t="0" r="17780" b="10795"/>
                  <wp:wrapNone/>
                  <wp:docPr id="15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无靠背餐桌椅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D617B6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W1600*D1200*H750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1、桌面：优质多层板基材，厚度</w:t>
            </w:r>
            <w:r w:rsidRPr="004A7832">
              <w:rPr>
                <w:rFonts w:ascii="宋体" w:eastAsia="宋体" w:hAnsi="宋体" w:cs="Calibri"/>
                <w:color w:val="000000"/>
                <w:szCs w:val="21"/>
              </w:rPr>
              <w:t>≥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12mm，要求检测依据参照GB18580-2017《室内装饰装修材料人造板及其制品中甲醛释放限量》，或GB/T 39600-2021《人造板及其制品甲醛释放量分级》，甲醛释放量要求符合或优于国家E0级标准。双层横竖交织压合而成，保证基材不变形、不开裂、无压痕、无脱胶、无气泡、整体美观。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、桌架：钢架选用国家标准大厂钢材，钢材厚度≥1.5mm，高频焊接冷轧封口钢材，成形前经过特殊防腐处理。主体钢架为异形三角管，钢架采用激光切割+自动焊接而成；边脚均采用单管一体成型，强度高，整体与台面连接牢固不晃动，不倾翻；四脚打磨光滑；所有组件经模具冲压折弯焊接而成，暴露焊接部分打磨，焊点无毛刺、无脱焊，且经打磨、平磨、平整处理；产品表面经除油、去锈、酸洗、磷化等九道工序处理，经高压静电喷涂生产线喷涂处理。检验依据参照GB/T 9286-2021《色漆和清漆划格试验》、GB/T 1732-2020《漆膜耐冲击测定法》、GB/T 6739-2022《色漆和清漆铅笔法测定漆膜硬度》、QB/T 3826-1999《轻工产品金属镀层和化学处理层的耐腐蚀试验方法中性盐雾试验(NSS)法》，按GB/T 3325-2024《金属家具通用技术条件》判定，理化性能：产品表面理化性能-金属喷漆(塑)涂层：硬度，铅笔硬度H，应无塑性变形和/或内聚破坏；冲击强度，冲击高度400mm，应无剥落、裂纹、皱纹；耐盐浴，划道两侧3mm外，应无鼓泡、锈蚀、剥落和起皱等现象；附着力（级）2级或优于2级(0级最好，5级最差)。产品表面理化性能-金属电镀层：抗盐雾，直径1.5mm以下锈点≤20点/dm2，其中直径≥1.0mm锈点不超过5点(距边缘棱角2mm以内的不计)，单项评价为合格。表面美观不生锈，无味无甲醛，环保性强、耐腐蚀、遇阳光不变色、防锈功能好、表面性能稳定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3、坐板：坐板选用多层天然木皮横竖叠加，经高温热压一次成型；成型后坐板呈三维曲面，坐板后端仰角不低于R50圆弧支撑腰臀，坐板前端俯角不低于R145圆弧撑托大腿部分，坐板两端接触臀部仰角不低于R400曲面，坐感舒适久坐不累；饰面部分选用优质木皮饰面，纹理美观、打磨圆滑；表面采用环保油漆涂装，硬度高、耐磨性强、漆膜饱满，经三底两面喷涂，漆膜涂层无剥落、露底、针孔、花斑、划痕等。</w:t>
            </w:r>
          </w:p>
        </w:tc>
      </w:tr>
      <w:tr w:rsidR="00D617B6" w:rsidRPr="004A7832">
        <w:trPr>
          <w:trHeight w:val="165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lastRenderedPageBreak/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方桌1#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-4605020</wp:posOffset>
                  </wp:positionV>
                  <wp:extent cx="1364615" cy="896620"/>
                  <wp:effectExtent l="0" t="0" r="6985" b="17780"/>
                  <wp:wrapNone/>
                  <wp:docPr id="16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W700*D700*H750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1、桌面：优质多层板基材，厚度≥12mm，要求检测依据参照GB18580-2017《室内装饰装修材料人造板及其制品中甲醛释放限量》，或GB/T 39600-2021《人造板及其制品甲醛释放量分级》，甲醛释放量要求符合或优于国家E0级标准。双层横竖交织压合而成，保证基材不变形、不开裂、无压痕、无脱胶、无气泡、整体美观，外观要求：应无贯通裂缝，不应有虫蛀现象；外表应无腐朽材，死节、孔洞、夹皮和树脂道、树胶道应进行修补加工。饰面部分选用优质品牌防火防水装饰板贴面，厚度≥0.6mm。环保胶水，VOC含量及游离甲醛满足GB33372-2020《胶粘剂挥发性有机化合物限量》、GB18583-2008《室内装饰装修材料 胶粘剂中有害物质限量》标准。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、桌架：钢架选用国家标准大厂钢材，钢材厚度≥1.5mm，高频焊接冷轧封口钢材，成形前经过特殊防腐处理。主体钢架为异形三角管，选用85.5*34.5*1.5足厚优质家具专用钢材钢架采用激光切割+自动焊接而成；四脚均采用单管一体成型，强度高，整体与台面连接牢固不晃动，不倾翻；托盘选用298*298*3mm钢板激光切割，四脚打磨光滑；所有组件经模具冲压折弯焊接而成，暴露焊接部分打磨，焊点无毛刺、无脱焊，且经打磨、平磨、平整处理。产品表面经除油、去锈、酸洗、磷化等九道工序处理，经高压静电喷涂生产线喷涂处理。检验依据参照GB/T 9286-2021《色漆和清漆划格试验》、GB/T 1732-2020《漆膜耐冲击测定法》、GB/T 6739-2022《色漆和清漆铅笔法测定漆膜硬度》、QB/T 3826-1999《轻工产品金属镀层和化学处理层的耐腐蚀试验方法中性盐雾试验(NSS)法》，按GB/T 3325-2024《金属家具通用技术条件》判定，理化性能：产品表面理化性能-金属喷漆(塑)涂层：硬度，铅笔硬度H，应无塑性变形和/或内聚破坏；冲击强度，冲击高度400mm，应无剥落、裂纹、皱纹；耐盐浴，划道两侧3mm外，应无鼓泡、锈蚀、剥落和起皱等现象；附着力（级）2级或优于2级(0级最好，5级最差)。产品表面理化性能-金属电镀层：抗盐雾，直径1.5mm以下锈点≤20点/dm2，其中直径≥1.0mm锈点不超过5点(距边缘棱角2mm以内的不计)，单项评价为合格。表面美观不生锈，无味无甲醛，环保性强、耐腐蚀、遇阳光不变色、防锈功能好、表面性能稳定。表面经高温除油、除污、酸洗、磷化后，经高压静电喷涂生产线喷涂处理，保证涂层附着力强，抗腐蚀、不易生锈、经久耐用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3、设计：外观简约时尚，工艺为原创设计，杜绝仿冒伪劣产品。</w:t>
            </w:r>
          </w:p>
        </w:tc>
      </w:tr>
      <w:tr w:rsidR="00D617B6" w:rsidRPr="004A7832">
        <w:trPr>
          <w:trHeight w:val="165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方桌2#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-4639945</wp:posOffset>
                  </wp:positionV>
                  <wp:extent cx="1346200" cy="985520"/>
                  <wp:effectExtent l="0" t="0" r="6350" b="5080"/>
                  <wp:wrapNone/>
                  <wp:docPr id="17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W700*D700*H750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1、桌面：优质多层板基材，厚度≥12mm，要求检测依据参照GB18580-2017《室内装饰装修材料人造板及其制品中甲醛释放限量》，或GB/T 39600-2021《人造板及其制品甲醛释放量分级》，甲醛释放量要求符合或优于国家E0级标准。双层横竖交织压合而成，保证基材不变形、不开裂、无压痕、无脱胶、无气泡、整体美观，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lastRenderedPageBreak/>
              <w:t>外观要求：应无贯通裂缝，不应有虫蛀现象；外表应无腐朽材，死节、孔洞、夹皮和树脂道、树胶道应进行修补加工。饰面部分选用优质品牌防火防水装饰板贴面，厚度≥0.6mm。环保胶水，VOC含量及游离甲醛满足GB33372-2020《胶粘剂挥发性有机化合物限量》、GB18583-2008《室内装饰装修材料 胶粘剂中有害物质限量》标准。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、桌架：钢架选用国家标准大厂钢材，钢材厚度≥1.5mm，高频焊接冷轧封口钢材，成形前经过特殊防腐处理。主体钢架为异形三角管，选用85.5*34.5*1.5足厚优质家具专用钢材，钢架采用激光切割+自动焊接而成，三脚均采用单管一体成型，强度高，整体与台面连接牢固不晃动，不倾翻；底座选用450*450*7mm足厚钢板激光切割，四脚打磨光滑；所有组件经模具冲压折弯焊接而成，暴露焊接部分打磨，焊点无毛刺、无脱焊，且经打磨、平磨、平整处理。产品表面经除油、去锈、酸洗、磷化等九道工序处理，经高压静电喷涂生产线喷涂处理。检验依据参照GB/T 9286-2021《色漆和清漆划格试验》、GB/T 1732-2020《漆膜耐冲击测定法》、GB/T 6739-2022《色漆和清漆铅笔法测定漆膜硬度》、QB/T 3826-1999《轻工产品金属镀层和化学处理层的耐腐蚀试验方法中性盐雾试验(NSS)法》，按GB/T 3325-2024《金属家具通用技术条件》判定，理化性能：产品表面理化性能-金属喷漆(塑)涂层：硬度，铅笔硬度H，应无塑性变形和/或内聚破坏；冲击强度，冲击高度400mm，应无剥落、裂纹、皱纹；耐盐浴，划道两侧3mm外，应无鼓泡、锈蚀、剥落和起皱等现象；附着力（级）2级或优于2级(0级最好，5级最差)。产品表面理化性能-金属电镀层：抗盐雾，直径1.5mm以下锈点≤20点/dm2，其中直径≥1.0mm锈点不超过5点(距边缘棱角2mm以内的不计)，单项评价为合格。表面美观不生锈，无味无甲醛，环保性强、耐腐蚀、遇阳光不变色、防锈功能好、表面性能稳定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3、设计：外观简约时尚，工艺为原创设计，杜绝仿冒伪劣产品。</w:t>
            </w:r>
          </w:p>
        </w:tc>
      </w:tr>
      <w:tr w:rsidR="00D617B6" w:rsidRPr="004A7832">
        <w:trPr>
          <w:trHeight w:val="51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lastRenderedPageBreak/>
              <w:t>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条桌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-4586605</wp:posOffset>
                  </wp:positionV>
                  <wp:extent cx="1323340" cy="1223645"/>
                  <wp:effectExtent l="0" t="0" r="10160" b="14605"/>
                  <wp:wrapNone/>
                  <wp:docPr id="18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W1200*D700*H750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1、桌面：优质多层板基材，厚度≥12mm，要求检测依据参照GB18580-2017《室内装饰装修材料人造板及其制品中甲醛释放限量》，或GB/T 39600-2021《人造板及其制品甲醛释放量分级》，甲醛释放量要求符合或优于国家E0级标准。双层横竖交织压合而成，保证基材不变形、不开裂、无压痕、无脱胶、无气泡、整体美观，外观要求：应无贯通裂缝，不应有虫蛀现象；外表应无腐朽材，死节、孔洞、夹皮和树脂道、树胶道应进行修补加工。饰面部分选用优质品牌防火防水装饰板贴面，厚度≥0.6mm。环保胶水，VOC含量及游离甲醛满足GB33372-2020《胶粘剂挥发性有机化合物限量》、GB18583-2008《室内装饰装修材料 胶粘剂中有害物质限量》标准。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2、桌架：钢架选用国家标准大厂钢材，钢材厚度≥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lastRenderedPageBreak/>
              <w:t>1.5mm，高频焊接冷轧封口钢材，成形前经过特殊防腐处理。主体钢架为异形三角管，选用85.5*34.5*1.5足厚优质家具专用钢材，钢架采用激光切割+自动焊接而成，双脚均采用单管一体成型，强度高，整体与台面连接牢固不晃动，不倾翻；底座选用498*120*7mm足厚钢板激光切割，四脚打磨光滑；所有组件经模具冲压折弯焊接而成，暴露焊接部分打磨，焊点无毛刺、无脱焊，且经打磨、平磨、平整处理。产品表面经除油、去锈、酸洗、磷化等九道工序处理，经高压静电喷涂生产线喷涂处理。检验依据参照GB/T 9286-2021《色漆和清漆划格试验》、GB/T 1732-2020《漆膜耐冲击测定法》、GB/T 6739-2022《色漆和清漆铅笔法测定漆膜硬度》、QB/T 3826-1999《轻工产品金属镀层和化学处理层的耐腐蚀试验方法中性盐雾试验(NSS)法》，按GB/T 3325-2024《金属家具通用技术条件》判定，理化性能：产品表面理化性能-金属喷漆(塑)涂层：硬度，铅笔硬度H，应无塑性变形和/或内聚破坏；冲击强度，冲击高度400mm，应无剥落、裂纹、皱纹；耐盐浴，划道两侧3mm外，应无鼓泡、锈蚀、剥落和起皱等现象；附着力（级）2级或优于2级(0级最好，5级最差)。产品表面理化性能-金属电镀层：抗盐雾，直径1.5mm以下锈点≤20点/dm2，其中直径≥1.0mm锈点不超过5点(距边缘棱角2mm以内的不计)，单项评价为合格。表面美观不生锈，无味无甲醛，环保性强、耐腐蚀、遇阳光不变色、防锈功能好、表面性能稳定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3、设计：外观简约时尚，工艺为原创设计，杜绝仿冒伪劣产品。</w:t>
            </w:r>
          </w:p>
        </w:tc>
      </w:tr>
      <w:tr w:rsidR="00D617B6" w:rsidRPr="004A7832">
        <w:trPr>
          <w:trHeight w:val="198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lastRenderedPageBreak/>
              <w:t>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定制吧桌1#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-911225</wp:posOffset>
                  </wp:positionV>
                  <wp:extent cx="1304925" cy="1022350"/>
                  <wp:effectExtent l="0" t="0" r="9525" b="6350"/>
                  <wp:wrapNone/>
                  <wp:docPr id="19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W1400*D600*H1050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1.板材：优质多层板，厚度≥18mm，要求检测依据参照GB18580-2017《室内装饰装修材料人造板及其制品中甲醛释放限量》，或GB/T 39600-2021《人造板及其制品甲醛释放量分级》，甲醛释放量要求符合或优于国家E0级标准。贴面为环保防火三聚氰胺饰面，厚度≥0.7mm，优质同色PVC封边条封边，封边条厚度≥1.2mm，甲醛释放量、可迁移元素(可溶性重金属)满足QB/T 4463-2013《家具用封边条技术要求》，采用PUR工艺封边，稳定性强，美观环保，防水性强。环保胶水，VOC含量及游离甲醛满足GB33372-2020《胶粘剂挥发性有机化合物限量》、GB18583-2008《室内装饰装修材料胶粘剂中有害物质限量》标准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.钢材：钢材厚度≥1.5mm，工艺要求：采用国标一级冷轧钢(白管)，焊接部位均采用C02气体保护焊及激光焊工艺高频焊接，焊接合无裂缝；所有组件经模具冲压折弯焊接而成，暴露焊接部分打磨，焊点无毛刺、无脱焊，且经打磨、平磨、平整处理；产品表面经除油、去锈、酸洗、磷化等九道工序处理，采用环保阿克苏粉末，静电喷粉工艺。经恒温烘烤处理，高温塑化而成。检验依据参照GB/T 9286-2021《色漆和清漆划格试验》、GB/T 1732-2020《漆膜耐冲击测定法》、GB/T 6739-2022《色漆和清漆铅笔法测定漆膜硬度》、QB/T 3826-1999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lastRenderedPageBreak/>
              <w:t>《轻工产品金属镀层和化学处理层的耐腐蚀试验方法中性盐雾试验(NSS)法》，按GB/T 3325-2024《金属家具通用技术条件》判定，理化性能：产品表面理化性能-金属喷漆(塑)涂层：硬度，铅笔硬度H，应无塑性变形和/或内聚破坏；冲击强度，冲击高度400mm，应无剥落、裂纹、皱纹；耐盐浴，划道两侧3mm外，应无鼓泡、锈蚀、剥落和起皱等现象；附着力（级）2级或优于2级(0级最好，5级最差)。产品表面理化性能-金属电镀层：抗盐雾，直径1.5mm以下锈点≤20点/dm2，其中直径≥1.0mm锈点不超过5点(距边缘棱角2mm以内的不计)，单项评价为合格。表面美观不生锈，无味无甲醛，环保性强、耐腐蚀、遇阳光不变色、防锈功能好、表面性能稳定。</w:t>
            </w:r>
          </w:p>
        </w:tc>
      </w:tr>
      <w:tr w:rsidR="00D617B6" w:rsidRPr="004A7832">
        <w:trPr>
          <w:trHeight w:val="9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lastRenderedPageBreak/>
              <w:t>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定制吧桌2#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-1797050</wp:posOffset>
                  </wp:positionV>
                  <wp:extent cx="1305560" cy="1209675"/>
                  <wp:effectExtent l="0" t="0" r="8890" b="9525"/>
                  <wp:wrapNone/>
                  <wp:docPr id="20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W1600*D600*H1050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1.板材：优质多层板，厚度≥18mm，要求检测依据参照GB18580-2017《室内装饰装修材料人造板及其制品中甲醛释放限量》，或GB/T 39600-2021《人造板及其制品甲醛释放量分级》，甲醛释放量要求符合或优于国家E0级标准。贴面为环保防火三聚氰胺饰面，厚度≥0.7mm，优质同色PVC封边条封边，封边条厚度≥1.2mm，甲醛释放量、可迁移元素(可溶性重金属)满足QB/T 4463-2013《家具用封边条技术要求》，采用PUR工艺封边，稳定性强，美观环保，防水性强。环保胶水，VOC含量及游离甲醛满足GB33372-2020《胶粘剂挥发性有机化合物限量》、GB18583-2008《室内装饰装修材料胶粘剂中有害物质限量》标准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.钢材：钢材厚度≥1.5mm，工艺要求：采用国标一级冷轧钢(白管)，焊接部位均采用C02气体保护焊及激光焊工艺高频焊接，焊接合无裂缝；所有组件经模具冲压折弯焊接而成，暴露焊接部分打磨，焊点无毛刺、无脱焊，且经打磨、平磨、平整处理；产品表面经除油、去锈、酸洗、磷化等九道工序处理，采用环保阿克苏粉末，静电喷粉工艺。经恒温烘烤处理，高温塑化而成。检验依据参照GB/T 9286-2021《色漆和清漆划格试验》、GB/T 1732-2020《漆膜耐冲击测定法》、GB/T 6739-2022《色漆和清漆铅笔法测定漆膜硬度》、QB/T 3826-1999《轻工产品金属镀层和化学处理层的耐腐蚀试验方法中性盐雾试验(NSS)法》，按GB/T 3325-2024《金属家具通用技术条件》判定，理化性能：产品表面理化性能-金属喷漆(塑)涂层：硬度，铅笔硬度H，应无塑性变形和/或内聚破坏；冲击强度，冲击高度400mm，应无剥落、裂纹、皱纹；耐盐浴，划道两侧3mm外，应无鼓泡、锈蚀、剥落和起皱等现象；附着力（级）2级或优于2级(0级最好，5级最差)。产品表面理化性能-金属电镀层：抗盐雾，直径1.5mm以下锈点≤20点/dm2，其中直径≥1.0mm锈点不超过5点(距边缘棱角2mm以内的不计)，单项评价为合格。表面美观不生锈，无味无甲醛，环保性强、耐腐蚀、遇阳光不变色、防锈功能好、表面性能稳定。</w:t>
            </w:r>
          </w:p>
        </w:tc>
      </w:tr>
      <w:tr w:rsidR="00D617B6" w:rsidRPr="004A7832">
        <w:trPr>
          <w:trHeight w:val="109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lastRenderedPageBreak/>
              <w:t>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定制吧桌3#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-3252470</wp:posOffset>
                  </wp:positionV>
                  <wp:extent cx="1252220" cy="1139190"/>
                  <wp:effectExtent l="0" t="0" r="5080" b="3810"/>
                  <wp:wrapNone/>
                  <wp:docPr id="14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W1800*D600*H1050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1.板材：优质多层板，厚度≥18mm，要求检测依据参照GB18580-2017《室内装饰装修材料人造板及其制品中甲醛释放限量》，或GB/T 39600-2021《人造板及其制品甲醛释放量分级》，甲醛释放量要求符合或优于国家E0级标准。贴面为环保防火三聚氰胺饰面，厚度≥0.7mm，优质同色PVC封边条封边，封边条厚度≥1.2mm，甲醛释放量、可迁移元素(可溶性重金属)满足QB/T 4463-2013《家具用封边条技术要求》，采用PUR工艺封边，稳定性强，美观环保，防水性强。环保胶水，VOC含量及游离甲醛满足GB33372-2020《胶粘剂挥发性有机化合物限量》、GB18583-2008《室内装饰装修材料胶粘剂中有害物质限量》标准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.钢材：钢材厚度≥1.5mm，工艺要求：采用国标一级冷轧钢(白管)，焊接部位均采用C02气体保护焊及激光焊工艺高频焊接，焊接合无裂缝；所有组件经模具冲压折弯焊接而成，暴露焊接部分打磨，焊点无毛刺、无脱焊，且经打磨、平磨、平整处理；产品表面经除油、去锈、酸洗、磷化等九道工序处理，采用环保阿克苏粉末，静电喷粉工艺。经恒温烘烤处理，高温塑化而成。检验依据参照GB/T 9286-2021《色漆和清漆划格试验》、GB/T 1732-2020《漆膜耐冲击测定法》、GB/T 6739-2022《色漆和清漆铅笔法测定漆膜硬度》、QB/T 3826-1999《轻工产品金属镀层和化学处理层的耐腐蚀试验方法中性盐雾试验(NSS)法》，按GB/T 3325-2024《金属家具通用技术条件》判定，理化性能：产品表面理化性能-金属喷漆(塑)涂层：硬度，铅笔硬度H，应无塑性变形和/或内聚破坏；冲击强度，冲击高度400mm，应无剥落、裂纹、皱纹；耐盐浴，划道两侧3mm外，应无鼓泡、锈蚀、剥落和起皱等现象；附着力（级）2级或优于2级(0级最好，5级最差)。产品表面理化性能-金属电镀层：抗盐雾，直径1.5mm以下锈点≤20点/dm2，其中直径≥1.0mm锈点不超过5点(距边缘棱角2mm以内的不计)，单项评价为合格。表面美观不生锈，无味无甲醛，环保性强、耐腐蚀、遇阳光不变色、防锈功能好、表面性能稳定。</w:t>
            </w:r>
          </w:p>
        </w:tc>
      </w:tr>
      <w:tr w:rsidR="00D617B6" w:rsidRPr="004A7832">
        <w:trPr>
          <w:trHeight w:val="721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餐椅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-4397375</wp:posOffset>
                  </wp:positionV>
                  <wp:extent cx="1301750" cy="1387475"/>
                  <wp:effectExtent l="0" t="0" r="12700" b="3175"/>
                  <wp:wrapNone/>
                  <wp:docPr id="25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W512*D523*H804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、主体框架：钢架选用国家标准大厂钢材，高频焊接冷轧封口钢材，成形前经过特殊防腐处理，选用Φ12实心优质钢筋制作，钢架采用激光切割+自动焊接而成，所有组件经模具冲压折弯焊接而成，暴露焊接部分打磨，焊点无毛刺、无脱焊，且经打磨、平磨、平整处理。产品表面表面为金属镀层防污处理，按GB/T 3325-2024《金属家具通用技术条件》判定，理化性能：产品表面理化性能-金属电镀层：抗盐雾，直径1.5mm以下锈点≤20点/dm2，其中直径≥1.0mm锈点不超过5点(距边缘棱角2mm以内的不计)，单项评价为合格，增强钢架的抗腐蚀性、增加表面硬度、防止磨耗、提高产品光滑性、耐热性以及表面美观性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2、坐板：坐板规格为430*409mm（±5mm），坐板选用多层天然木皮横竖叠加，经高温热压一次成型；成型后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lastRenderedPageBreak/>
              <w:t>坐板呈三维曲面，坐板后端仰角不低于R50圆弧支撑腰臀，坐板前端俯角不低于R145圆弧撑托大腿部分，坐板两端接触臀部仰角不低于R400曲面，坐感舒适久坐不累；厚度≥10mm。饰面部分选用优质木皮饰面，纹理美观、打磨圆滑；环保胶水，VOC含量及游离甲醛满足GB33372-2020《胶粘剂挥发性有机化合物限量》、GB18583-2008《室内装饰装修材料胶粘剂中有害物质限量》标准。表面采用环保水性面漆：检测依据参照GB18581-2020《木器涂料中有害物质限量》、HJ2537-2014《环境标志产品技术要求水性涂料》。VOC含量(g/L) ≤250；甲醛含量，苯系物总和含量[限苯、甲苯、二甲苯(含乙苯)]，多环芳烃总和含量(限禁、蒽)，卤代烃总和含量(限二氯甲烷、三氯甲烷四氯化碳、1,1-二氯乙烷、1,2-二氯乙烷、1,1,1-三氯乙烷、1,1,2-三氯乙烷、1,2-二氯丙烷、1,2,3-三氯丙烷、三氯Z烯、四氯乙烯)，可溶性铅，可溶性镉，可溶性铬，可溶性汞均为未检出；硬度高、耐磨性强、漆膜饱满，经三底两面喷涂，漆膜涂层无剥落、露底、针孔、花斑、划痕等。所有板材均采用紧密设备开料，保证产品整体尺寸偏差不高于5mm，孔位均采用紧密机械打孔，保证组装快捷，板材需保证无透胶、无凹陷、无压痕、无脱胶、无气泡、整体美观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3、背板：背板规格为420*275mm（±5mm）背板选用多层天然木皮横竖叠加，经高温热压一次成型；成型后背板为曲面，背板两侧包裹性强，两侧曲面不低于R400曲面；厚度≥11mm，饰面部分选用优质木皮饰面，纹理美观、打磨圆滑；环保胶水，VOC含量及游离甲醛满足GB33372-2020《胶粘剂挥发性有机化合物限量》、GB18583-2008《室内装饰装修材料胶粘剂中有害物质限量》标准。表面采用环保水性面漆：检测依据参照GB18581-2020《木器涂料中有害物质限量》、HJ2537-2014《环境标志产品技术要求水性涂料》。VOC含量(g/L) ≤250；甲醛含量，苯系物总和含量[限苯、甲苯、二甲苯(含乙苯)]，多环芳烃总和含量(限禁、蒽)，卤代烃总和含量(限二氯甲烷、三氯甲烷四氯化碳、1,1-二氯乙烷、1,2-二氯乙烷、1,1,1-三氯乙烷、1,1,2-三氯乙烷、1,2-二氯丙烷、1,2,3-三氯丙烷、三氯Z烯、四氯乙烯)，可溶性铅，可溶性镉，可溶性铬，可溶性汞均为未检出；硬度高、耐磨性强、漆膜饱满，经三底两面喷涂，漆膜涂层无剥落、露底、针孔、花斑、划痕等。所有板材均采用紧密设备开料，保证产品整体尺寸偏差不高于5mm，孔位均采用紧密机械打孔，保证组装快捷，板材需保证无透胶、无凹陷、无压痕、无脱胶、无气泡、整体美观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4、支撑件：支撑件选用优质PP全新材料+玻纤制作而成，环保、强度高、无污染，严格选用可重复使用PP全新材料。支撑件分为坐板支架、靠背支架经榫卯工艺及配件铆合固定，坐板支架不低于100°，靠背支架不低于90°，坐背支架铆合固定后，背部呈现出不低于8cm长3cm深的拉手空隙，空隙光滑不刺手，空隙便于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lastRenderedPageBreak/>
              <w:t>拿起方便椅子的移动或堆叠；符合人体工学。</w:t>
            </w:r>
          </w:p>
        </w:tc>
      </w:tr>
      <w:tr w:rsidR="00D617B6" w:rsidRPr="004A7832">
        <w:trPr>
          <w:trHeight w:val="198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lastRenderedPageBreak/>
              <w:t>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无背高椅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-2148205</wp:posOffset>
                  </wp:positionV>
                  <wp:extent cx="1354455" cy="1172210"/>
                  <wp:effectExtent l="0" t="0" r="17145" b="8890"/>
                  <wp:wrapNone/>
                  <wp:docPr id="23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5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W555*D535*H780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、主体框架：钢架选用国家标准大厂钢材，高频焊接冷轧封口钢材，成形前经过特殊防腐处理，选用Φ12实心优质钢筋制作，钢架采用激光切割+自动焊接而成，所有组件经模具冲压折弯焊接而成，暴露焊接部分打磨，焊点无毛刺、无脱焊，且经打磨、平磨、平整处理。产品表面表面为金属镀层防污处理，按GB/T 3325-2024《金属家具通用技术条件》判定，理化性能：产品表面理化性能-金属电镀层：抗盐雾，直径1.5mm以下锈点≤20点/dm2，其中直径≥1.0mm锈点不超过5点(距边缘棱角2mm以内的不计)，单项评价为合格，增强钢架的抗腐蚀性、增加表面硬度、防止磨耗、提高产品光滑性、耐热性以及表面美观性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、坐板：坐板选用多层天然木皮横竖叠加，经高温热压一次成型；成型后坐板呈三维曲面，坐板后端仰角不低于R50圆弧支撑腰臀，坐板前端俯角不低于R145圆弧撑托大腿部分，坐板两端接触臀部仰角不低于R400曲面，坐感舒适久坐不累；厚度≥10mm。饰面部分选用优质木皮饰面，纹理美观、打磨圆滑；环保胶水，VOC含量及游离甲醛满足GB33372-2020《胶粘剂挥发性有机化合物限量》、GB18583-2008《室内装饰装修材料胶粘剂中有害物质限量》标准。表面采用环保水性面漆：检测依据参照GB18581-2020《木器涂料中有害物质限量》、HJ2537-2014《环境标志产品技术要求水性涂料》。VOC含量(g/L) ≤250；甲醛含量，苯系物总和含量[限苯、甲苯、二甲苯(含乙苯)]，多环芳烃总和含量(限禁、蒽)，卤代烃总和含量(限二氯甲烷、三氯甲烷四氯化碳、1,1-二氯乙烷、1,2-二氯乙烷、1,1,1-三氯乙烷、1,1,2-三氯乙烷、1,2-二氯丙烷、1,2,3-三氯丙烷、三氯Z烯、四氯乙烯)，可溶性铅，可溶性镉，可溶性铬，可溶性汞均为未检出；硬度高、耐磨性强、漆膜饱满，经三底两面喷涂，漆膜涂层无剥落、露底、针孔、花斑、划痕等。所有板材均采用紧密设备开料，保证产品整体尺寸偏差不高于5mm，孔位均采用紧密机械打孔，保证组装快捷，板材需保证无透胶、无凹陷、无压痕、无脱胶、无气泡、整体美观。</w:t>
            </w:r>
          </w:p>
        </w:tc>
      </w:tr>
      <w:tr w:rsidR="00D617B6" w:rsidRPr="004A7832">
        <w:trPr>
          <w:trHeight w:val="154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定制花槽卡座1#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-2954655</wp:posOffset>
                  </wp:positionV>
                  <wp:extent cx="1336040" cy="912495"/>
                  <wp:effectExtent l="0" t="0" r="16510" b="1905"/>
                  <wp:wrapNone/>
                  <wp:docPr id="2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W6600*D1800*H900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1.板材：优质多层板，厚度≥18mm，要求检测依据参照GB18580-2017《室内装饰装修材料人造板及其制品中甲醛释放限量》，或GB/T 39600-2021《人造板及其制品甲醛释放量分级》，甲醛释放量要求符合或优于国家E0级标准。贴面为环保防火三聚氰胺饰面，厚度≥0.7mm，优质同色PVC封边条封边，封边条厚度≥1.2mm，甲醛释放量、可迁移元素(可溶性重金属)满足QB/T 4463-2013《家具用封边条技术要求》，采用PUR工艺封边，稳定性强，美观环保，防水性强。环保胶水，VOC含量及游离甲醛满足GB33372-2020《胶粘剂挥发性有机化合物限量》、GB18583-2008《室内装饰装修材料胶粘剂中有害物质限量》标准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lastRenderedPageBreak/>
              <w:t>2.优质面料，手感柔软，透气性好。采用模具化一次发泡成型定型棉，海绵需满足QB/T 1952.1-2023《软体家具沙发》、GB/T 6343-2009《泡沫塑料及橡胶表观密度的测定》、GB/T 6670-2008《软质泡沫聚合材料落球法回弹性能的测定》，或GB/T 10802-2023《通用软质聚氨酯泡沫塑料》，回弹率(%)≥35；产品用料、加工/泡沫塑料/表观密度：座面(Kg/m3）≥25的要求。工艺：使用环保胶粘剂粘接海绵，胶水中VOC含量及游离甲醛含量应满足GB33372-2020《胶粘剂挥发性有机化合物限量》、GB18583-2008《室内装饰装修材料胶粘剂中有害物质限量》标准。</w:t>
            </w:r>
          </w:p>
        </w:tc>
      </w:tr>
      <w:tr w:rsidR="00D617B6" w:rsidRPr="004A7832">
        <w:trPr>
          <w:trHeight w:val="36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lastRenderedPageBreak/>
              <w:t>11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定制花槽卡座2#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-742315</wp:posOffset>
                  </wp:positionV>
                  <wp:extent cx="1336040" cy="828040"/>
                  <wp:effectExtent l="0" t="0" r="16510" b="10160"/>
                  <wp:wrapNone/>
                  <wp:docPr id="22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W6600*D550*H900+W3850*D1250*H900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1.板材：优质多层板，厚度≥18mm，要求检测依据参照GB18580-2017《室内装饰装修材料人造板及其制品中甲醛释放限量》，或GB/T 39600-2021《人造板及其制品甲醛释放量分级》，甲醛释放量要求符合或优于国家E0级标准。贴面为环保防火三聚氰胺饰面，厚度≥0.7mm，优质同色PVC封边条封边，封边条厚度≥1.2mm，甲醛释放量、可迁移元素(可溶性重金属)满足QB/T 4463-2013《家具用封边条技术要求》，采用PUR工艺封边，稳定性强，美观环保，防水性强。环保胶水，VOC含量及游离甲醛满足GB33372-2020《胶粘剂挥发性有机化合物限量》、GB18583-2008《室内装饰装修材料胶粘剂中有害物质限量》标准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2.优质面料，手感柔软，透气性好。采用模具化一次发泡成型定型棉，海绵需满足QB/T 1952.1-2023《软体家具沙发》、GB/T 6343-2009《泡沫塑料及橡胶表观密度的测定》、GB/T 6670-2008《软质泡沫聚合材料落球法回弹性能的测定》，或GB/T 10802-2023《通用软质聚氨酯泡沫塑料》，回弹率(%)≥35；产品用料、加工/泡沫塑料/表观密度：座面(Kg/m3）≥25的要求。工艺：使用环保胶粘剂粘接海绵，胶水中VOC含量及游离甲醛含量应满足GB33372-2020《胶粘剂挥发性有机化合物限量》、GB18583-2008《室内装饰装修材料胶粘剂中有害物质限量》标准。</w:t>
            </w:r>
          </w:p>
        </w:tc>
      </w:tr>
      <w:tr w:rsidR="00D617B6" w:rsidRPr="004A7832">
        <w:trPr>
          <w:trHeight w:val="178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定制花槽卡座3#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617B6" w:rsidRPr="004A7832" w:rsidRDefault="0043554A">
            <w:pPr>
              <w:widowControl/>
              <w:snapToGrid w:val="0"/>
              <w:jc w:val="left"/>
              <w:textAlignment w:val="bottom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等线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-3133090</wp:posOffset>
                  </wp:positionV>
                  <wp:extent cx="1336040" cy="1066165"/>
                  <wp:effectExtent l="0" t="0" r="16510" b="635"/>
                  <wp:wrapNone/>
                  <wp:docPr id="1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等线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W3020*D1600*H900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617B6" w:rsidRPr="004A7832" w:rsidRDefault="0043554A">
            <w:pPr>
              <w:widowControl/>
              <w:snapToGrid w:val="0"/>
              <w:jc w:val="center"/>
              <w:textAlignment w:val="center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微软雅黑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617B6" w:rsidRPr="004A7832" w:rsidRDefault="0043554A">
            <w:pPr>
              <w:widowControl/>
              <w:jc w:val="left"/>
              <w:rPr>
                <w:rFonts w:ascii="宋体" w:eastAsia="宋体" w:hAnsi="宋体" w:cs="微软雅黑"/>
                <w:color w:val="000000"/>
                <w:szCs w:val="21"/>
              </w:rPr>
            </w:pP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t>1.板材：优质多层板，厚度≥18mm，要求检测依据参照GB18580-2017《室内装饰装修材料人造板及其制品中甲醛释放限量》，或GB/T 39600-2021《人造板及其制品甲醛释放量分级》，甲醛释放量要求符合或优于国家E0级标准。贴面为环保防火三聚氰胺饰面，厚度≥0.7mm，优质同色PVC封边条封边，封边条厚度≥1.2mm，甲醛释放量、可迁移元素(可溶性重金属)满足QB/T 4463-2013《家具用封边条技术要求》，采用PUR工艺封边，稳定性强，美观环保，防水性强。环保胶水，VOC含量及游离甲醛满足GB33372-2020《胶粘剂挥发性有机化合物限量》、GB18583-2008《室内装饰装修材料胶粘剂中有害物质限量》标准。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br/>
              <w:t>2.优质面料，手感柔软，透气性好。采用模具化一次发泡成型定型棉，海绵需满足QB/T 1952.1-2023《软体家具沙发》、GB/T 6343-2009《泡沫塑料及橡胶表观密</w:t>
            </w:r>
            <w:r w:rsidRPr="004A7832">
              <w:rPr>
                <w:rFonts w:ascii="宋体" w:eastAsia="宋体" w:hAnsi="宋体" w:cs="Calibri" w:hint="eastAsia"/>
                <w:color w:val="000000"/>
                <w:szCs w:val="21"/>
              </w:rPr>
              <w:lastRenderedPageBreak/>
              <w:t>度的测定》、GB/T 6670-2008《软质泡沫聚合材料落球法回弹性能的测定》，或GB/T 10802-2023《通用软质聚氨酯泡沫塑料》，回弹率(%)≥35；产品用料、加工/泡沫塑料/表观密度：座面(Kg/m3）≥25的要求。工艺：使用环保胶粘剂粘接海绵，胶水中VOC含量及游离甲醛含量应满足GB33372-2020《胶粘剂挥发性有机化合物限量》、GB18583-2008《室内装饰装修材料胶粘剂中有害物质限量》标准。</w:t>
            </w:r>
          </w:p>
        </w:tc>
      </w:tr>
    </w:tbl>
    <w:p w:rsidR="00F5012E" w:rsidRDefault="00F5012E" w:rsidP="00F5012E">
      <w:pPr>
        <w:spacing w:line="360" w:lineRule="auto"/>
        <w:jc w:val="right"/>
        <w:rPr>
          <w:rFonts w:ascii="宋体" w:eastAsia="宋体" w:hAnsi="宋体" w:cstheme="minorEastAsia" w:hint="eastAsia"/>
          <w:szCs w:val="21"/>
        </w:rPr>
      </w:pPr>
    </w:p>
    <w:p w:rsidR="00D617B6" w:rsidRPr="004A7832" w:rsidRDefault="0043554A" w:rsidP="00F5012E">
      <w:pPr>
        <w:spacing w:line="360" w:lineRule="auto"/>
        <w:jc w:val="right"/>
        <w:rPr>
          <w:rFonts w:ascii="宋体" w:eastAsia="宋体" w:hAnsi="宋体"/>
          <w:szCs w:val="21"/>
        </w:rPr>
      </w:pPr>
      <w:r w:rsidRPr="004A7832">
        <w:rPr>
          <w:rFonts w:ascii="宋体" w:eastAsia="宋体" w:hAnsi="宋体" w:hint="eastAsia"/>
          <w:szCs w:val="21"/>
        </w:rPr>
        <w:t>后勤服务中心饮食管理办公室</w:t>
      </w:r>
    </w:p>
    <w:p w:rsidR="00D617B6" w:rsidRPr="004A7832" w:rsidRDefault="0043554A" w:rsidP="004A7832">
      <w:pPr>
        <w:spacing w:line="360" w:lineRule="auto"/>
        <w:ind w:firstLineChars="202" w:firstLine="424"/>
        <w:jc w:val="right"/>
        <w:rPr>
          <w:rFonts w:ascii="宋体" w:eastAsia="宋体" w:hAnsi="宋体"/>
          <w:szCs w:val="21"/>
        </w:rPr>
      </w:pPr>
      <w:r w:rsidRPr="004A7832">
        <w:rPr>
          <w:rFonts w:ascii="宋体" w:eastAsia="宋体" w:hAnsi="宋体" w:hint="eastAsia"/>
          <w:szCs w:val="21"/>
        </w:rPr>
        <w:t>2</w:t>
      </w:r>
      <w:r w:rsidRPr="004A7832">
        <w:rPr>
          <w:rFonts w:ascii="宋体" w:eastAsia="宋体" w:hAnsi="宋体"/>
          <w:szCs w:val="21"/>
        </w:rPr>
        <w:t>025</w:t>
      </w:r>
      <w:r w:rsidRPr="004A7832">
        <w:rPr>
          <w:rFonts w:ascii="宋体" w:eastAsia="宋体" w:hAnsi="宋体" w:hint="eastAsia"/>
          <w:szCs w:val="21"/>
        </w:rPr>
        <w:t>年9月25日</w:t>
      </w:r>
    </w:p>
    <w:p w:rsidR="00D617B6" w:rsidRDefault="00D617B6">
      <w:pPr>
        <w:pStyle w:val="a0"/>
      </w:pPr>
    </w:p>
    <w:sectPr w:rsidR="00D617B6" w:rsidSect="00D617B6">
      <w:pgSz w:w="11906" w:h="16838"/>
      <w:pgMar w:top="567" w:right="1134" w:bottom="567" w:left="1134" w:header="851" w:footer="992" w:gutter="0"/>
      <w:cols w:space="0"/>
      <w:docGrid w:type="lines" w:linePitch="31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D8B" w:rsidRDefault="00B36D8B" w:rsidP="004A7832">
      <w:r>
        <w:separator/>
      </w:r>
    </w:p>
  </w:endnote>
  <w:endnote w:type="continuationSeparator" w:id="0">
    <w:p w:rsidR="00B36D8B" w:rsidRDefault="00B36D8B" w:rsidP="004A7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D8B" w:rsidRDefault="00B36D8B" w:rsidP="004A7832">
      <w:r>
        <w:separator/>
      </w:r>
    </w:p>
  </w:footnote>
  <w:footnote w:type="continuationSeparator" w:id="0">
    <w:p w:rsidR="00B36D8B" w:rsidRDefault="00B36D8B" w:rsidP="004A78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4045F"/>
    <w:multiLevelType w:val="singleLevel"/>
    <w:tmpl w:val="26A4045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embedSystemFonts/>
  <w:bordersDoNotSurroundHeader/>
  <w:bordersDoNotSurroundFooter/>
  <w:proofState w:spelling="clean"/>
  <w:defaultTabStop w:val="420"/>
  <w:drawingGridVerticalSpacing w:val="157"/>
  <w:displayVerticalDrawingGridEvery w:val="2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</w:compat>
  <w:rsids>
    <w:rsidRoot w:val="2532118E"/>
    <w:rsid w:val="000A4EA5"/>
    <w:rsid w:val="000D5777"/>
    <w:rsid w:val="001559EC"/>
    <w:rsid w:val="00232DEF"/>
    <w:rsid w:val="004030EF"/>
    <w:rsid w:val="0043554A"/>
    <w:rsid w:val="00447FB1"/>
    <w:rsid w:val="004A7832"/>
    <w:rsid w:val="005C0D06"/>
    <w:rsid w:val="005F6289"/>
    <w:rsid w:val="0065690F"/>
    <w:rsid w:val="009B28A5"/>
    <w:rsid w:val="00A41DF2"/>
    <w:rsid w:val="00B36D8B"/>
    <w:rsid w:val="00B5494C"/>
    <w:rsid w:val="00BC6A9F"/>
    <w:rsid w:val="00CB00BB"/>
    <w:rsid w:val="00D617B6"/>
    <w:rsid w:val="00E00402"/>
    <w:rsid w:val="00F31AAA"/>
    <w:rsid w:val="00F5012E"/>
    <w:rsid w:val="00FF42D3"/>
    <w:rsid w:val="06D36835"/>
    <w:rsid w:val="0AF53DB5"/>
    <w:rsid w:val="12953CF3"/>
    <w:rsid w:val="138828DA"/>
    <w:rsid w:val="145F0788"/>
    <w:rsid w:val="1A282AFF"/>
    <w:rsid w:val="1B5763C6"/>
    <w:rsid w:val="1C9A5124"/>
    <w:rsid w:val="1FAD4176"/>
    <w:rsid w:val="2532118E"/>
    <w:rsid w:val="25466DDA"/>
    <w:rsid w:val="27196C26"/>
    <w:rsid w:val="31DB14FB"/>
    <w:rsid w:val="372331E8"/>
    <w:rsid w:val="392362AA"/>
    <w:rsid w:val="43043341"/>
    <w:rsid w:val="49CA1F74"/>
    <w:rsid w:val="4A08695A"/>
    <w:rsid w:val="4A536A89"/>
    <w:rsid w:val="4E2E6D8D"/>
    <w:rsid w:val="50A867A1"/>
    <w:rsid w:val="55344AA7"/>
    <w:rsid w:val="55883674"/>
    <w:rsid w:val="57FD379A"/>
    <w:rsid w:val="59036C6A"/>
    <w:rsid w:val="5C5C0E94"/>
    <w:rsid w:val="5CA40764"/>
    <w:rsid w:val="71804EA4"/>
    <w:rsid w:val="78AC3A78"/>
    <w:rsid w:val="7B322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D617B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qFormat/>
    <w:rsid w:val="00D617B6"/>
    <w:rPr>
      <w:rFonts w:ascii="宋体" w:hAnsi="Courier New"/>
      <w:sz w:val="20"/>
      <w:szCs w:val="21"/>
    </w:rPr>
  </w:style>
  <w:style w:type="paragraph" w:styleId="a4">
    <w:name w:val="annotation text"/>
    <w:basedOn w:val="a"/>
    <w:link w:val="Char"/>
    <w:rsid w:val="00D617B6"/>
    <w:rPr>
      <w:sz w:val="20"/>
      <w:szCs w:val="20"/>
    </w:rPr>
  </w:style>
  <w:style w:type="paragraph" w:styleId="a5">
    <w:name w:val="footer"/>
    <w:basedOn w:val="a"/>
    <w:qFormat/>
    <w:rsid w:val="00D617B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D617B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annotation subject"/>
    <w:basedOn w:val="a4"/>
    <w:next w:val="a4"/>
    <w:link w:val="Char0"/>
    <w:qFormat/>
    <w:rsid w:val="00D617B6"/>
    <w:rPr>
      <w:b/>
      <w:bCs/>
    </w:rPr>
  </w:style>
  <w:style w:type="character" w:styleId="a8">
    <w:name w:val="annotation reference"/>
    <w:basedOn w:val="a1"/>
    <w:qFormat/>
    <w:rsid w:val="00D617B6"/>
    <w:rPr>
      <w:sz w:val="16"/>
      <w:szCs w:val="16"/>
    </w:rPr>
  </w:style>
  <w:style w:type="paragraph" w:customStyle="1" w:styleId="1">
    <w:name w:val="表格1"/>
    <w:basedOn w:val="a"/>
    <w:qFormat/>
    <w:rsid w:val="00D617B6"/>
    <w:pPr>
      <w:spacing w:after="60"/>
      <w:ind w:leftChars="30" w:left="72" w:rightChars="30" w:right="72"/>
      <w:jc w:val="center"/>
    </w:pPr>
    <w:rPr>
      <w:szCs w:val="22"/>
    </w:rPr>
  </w:style>
  <w:style w:type="paragraph" w:customStyle="1" w:styleId="10">
    <w:name w:val="修订1"/>
    <w:hidden/>
    <w:uiPriority w:val="99"/>
    <w:unhideWhenUsed/>
    <w:qFormat/>
    <w:rsid w:val="00D617B6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">
    <w:name w:val="批注文字 Char"/>
    <w:basedOn w:val="a1"/>
    <w:link w:val="a4"/>
    <w:qFormat/>
    <w:rsid w:val="00D617B6"/>
    <w:rPr>
      <w:rFonts w:asciiTheme="minorHAnsi" w:eastAsiaTheme="minorEastAsia" w:hAnsiTheme="minorHAnsi" w:cstheme="minorBidi"/>
      <w:kern w:val="2"/>
    </w:rPr>
  </w:style>
  <w:style w:type="character" w:customStyle="1" w:styleId="Char0">
    <w:name w:val="批注主题 Char"/>
    <w:basedOn w:val="Char"/>
    <w:link w:val="a7"/>
    <w:qFormat/>
    <w:rsid w:val="00D617B6"/>
    <w:rPr>
      <w:rFonts w:asciiTheme="minorHAnsi" w:eastAsiaTheme="minorEastAsia" w:hAnsiTheme="minorHAnsi" w:cstheme="minorBidi"/>
      <w:b/>
      <w:bCs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1755</Words>
  <Characters>10007</Characters>
  <Application>Microsoft Office Word</Application>
  <DocSecurity>0</DocSecurity>
  <Lines>83</Lines>
  <Paragraphs>23</Paragraphs>
  <ScaleCrop>false</ScaleCrop>
  <Company/>
  <LinksUpToDate>false</LinksUpToDate>
  <CharactersWithSpaces>11739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xzw</cp:lastModifiedBy>
  <cp:revision>4</cp:revision>
  <cp:lastPrinted>2025-09-26T01:04:00Z</cp:lastPrinted>
  <dcterms:created xsi:type="dcterms:W3CDTF">2025-09-29T23:53:00Z</dcterms:created>
  <dcterms:modified xsi:type="dcterms:W3CDTF">2025-09-30T00:04:00Z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A9ADCB679F20490C980F163FD6A2D71A_13</vt:lpwstr>
  </property>
  <property fmtid="{D5CDD505-2E9C-101B-9397-08002B2CF9AE}" pid="4" name="KSOTemplateDocerSaveRecord">
    <vt:lpwstr>eyJoZGlkIjoiM2E1YzM2ZTY4NjczY2I3ZGFmYzg4ZTYzYjJmZDYwNTIiLCJ1c2VySWQiOiIxNDU0MzQxNTQzIn0=</vt:lpwstr>
  </property>
</Properties>
</file>